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Nhật ký huyết áp trống: in hoặc tải về</w:t>
      </w:r>
    </w:p>
    <w:p>
      <w:pPr/>
      <w:r>
        <w:rPr>
          <w:color w:val="4A5866"/>
          <w:sz w:val="20"/>
        </w:rPr>
        <w:t xml:space="preserve">Đủ chỗ cho một tháng đo hai lần mỗi ngày. Hãy đo hai hoặc ba lần cách nhau một phút rồi ghi giá trị trung bình, không phải lần đẹp nhất.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Ngày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Giờ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Tâm thu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Tâm trương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Nhịp tim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Tay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Ghi chú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https://feeltracker.com/vi/blood-pressure/log-template/</w:t>
      </w:r>
    </w:p>
    <w:sectPr>
      <w:pgSz w:w="11906" w:h="16838"/>
      <w:pgMar w:top="720" w:right="720" w:bottom="720" w:left="720"/>
    </w:sectPr>
  </w:body>
</w:document>
</file>