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แบบฟอร์มบันทึกความดันโลหิตเปล่า: พิมพ์หรือดาวน์โหลด</w:t>
      </w:r>
    </w:p>
    <w:p>
      <w:pPr/>
      <w:r>
        <w:rPr>
          <w:color w:val="4A5866"/>
          <w:sz w:val="20"/>
        </w:rPr>
        <w:t xml:space="preserve">มีที่ว่างพอสำหรับการวัดวันละสองครั้งตลอดหนึ่งเดือน วัดสองถึงสามครั้งห่างกันครั้งละหนึ่งนาที แล้วจดค่าเฉลี่ย ไม่ใช่ค่าที่ดีที่สุด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วันที่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เวลา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ซิสโตลิก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ไดแอสโตลิก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ชีพจร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แขน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บันทึก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https://feeltracker.com/th/blood-pressure/log-template/</w:t>
      </w:r>
    </w:p>
    <w:sectPr>
      <w:pgSz w:w="11906" w:h="16838"/>
      <w:pgMar w:top="720" w:right="720" w:bottom="720" w:left="720"/>
    </w:sectPr>
  </w:body>
</w:document>
</file>