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Prazna evidencija krvnog tlaka: ispiši ili preuzmi</w:t>
      </w:r>
    </w:p>
    <w:p>
      <w:pPr/>
      <w:r>
        <w:rPr>
          <w:color w:val="4A5866"/>
          <w:sz w:val="20"/>
        </w:rPr>
        <w:t xml:space="preserve">Mjesta za mjesec dana mjerenja dvaput dnevno. Izmjeri dva ili tri puta u razmaku od minute i zapiši prosjek, a ne najbolji rezultat.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Datum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Vrijeme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Sistolički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Dijastolički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Ruka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Bilješke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https://feeltracker.com/hr/blood-pressure/log-template/</w:t>
      </w:r>
    </w:p>
    <w:sectPr>
      <w:pgSz w:w="11906" w:h="16838"/>
      <w:pgMar w:top="720" w:right="720" w:bottom="720" w:left="720"/>
    </w:sectPr>
  </w:body>
</w:document>
</file>