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Verenpainepäiväkirjan pohja: tulosta tai lataa</w:t>
      </w:r>
    </w:p>
    <w:p>
      <w:pPr/>
      <w:r>
        <w:rPr>
          <w:color w:val="4A5866"/>
          <w:sz w:val="20"/>
        </w:rPr>
        <w:t xml:space="preserve">Tilaa kuukauden mittauksille kahdesti päivässä. Mittaa kaksi tai kolme kertaa minuutin välein ja kirjaa keskiarvo, älä parasta tulosta.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Pvm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Aika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Yläpaine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Alapaine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Pulssi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Käsi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Huomiot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https://feeltracker.com/fi/blood-pressure/log-template/</w:t>
      </w:r>
    </w:p>
    <w:sectPr>
      <w:pgSz w:w="11906" w:h="16838"/>
      <w:pgMar w:top="720" w:right="720" w:bottom="720" w:left="720"/>
    </w:sectPr>
  </w:body>
</w:document>
</file>