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Leere Blutdrucktabelle: drucken oder herunterladen</w:t>
      </w:r>
    </w:p>
    <w:p>
      <w:pPr/>
      <w:r>
        <w:rPr>
          <w:color w:val="4A5866"/>
          <w:sz w:val="20"/>
        </w:rPr>
        <w:t xml:space="preserve">Platz für einen Monat mit zwei Messungen pro Tag. Miss zwei- bis dreimal im Abstand von einer Minute und trag den Durchschnitt ein, nicht den besten Wert.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Datum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Uhrzeit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Systolisch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Diastolisch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Arm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Notizen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https://feeltracker.com/de/blood-pressure/log-template/</w:t>
      </w:r>
    </w:p>
    <w:sectPr>
      <w:pgSz w:w="11906" w:h="16838"/>
      <w:pgMar w:top="720" w:right="720" w:bottom="720" w:left="720"/>
    </w:sectPr>
  </w:body>
</w:document>
</file>